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9590"/>
      </w:tblGrid>
      <w:tr w:rsidR="001C27B0" w:rsidRPr="00654100" w14:paraId="78DE3085" w14:textId="77777777" w:rsidTr="002A411B">
        <w:trPr>
          <w:trHeight w:val="516"/>
        </w:trPr>
        <w:tc>
          <w:tcPr>
            <w:tcW w:w="1509" w:type="dxa"/>
            <w:vMerge w:val="restart"/>
          </w:tcPr>
          <w:p w14:paraId="00CE8F6E" w14:textId="0FE63FB7" w:rsidR="001C27B0" w:rsidRPr="00654100" w:rsidRDefault="007B5C54" w:rsidP="004B4147">
            <w:pPr>
              <w:pStyle w:val="Logo"/>
              <w:rPr>
                <w:rFonts w:ascii="Arial" w:hAnsi="Arial" w:cs="Arial"/>
                <w:noProof/>
              </w:rPr>
            </w:pPr>
            <w:r w:rsidRPr="0065410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7D5E23B" wp14:editId="4568AD38">
                  <wp:simplePos x="0" y="0"/>
                  <wp:positionH relativeFrom="column">
                    <wp:posOffset>54968</wp:posOffset>
                  </wp:positionH>
                  <wp:positionV relativeFrom="paragraph">
                    <wp:posOffset>-123825</wp:posOffset>
                  </wp:positionV>
                  <wp:extent cx="744497" cy="941320"/>
                  <wp:effectExtent l="0" t="0" r="0" b="0"/>
                  <wp:wrapNone/>
                  <wp:docPr id="19098502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850245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66" cy="94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239" w:rsidRPr="00654100">
              <w:rPr>
                <w:rFonts w:ascii="Arial" w:hAnsi="Arial" w:cs="Arial"/>
                <w:noProof/>
              </w:rPr>
              <w:t xml:space="preserve">        </w:t>
            </w:r>
          </w:p>
        </w:tc>
        <w:tc>
          <w:tcPr>
            <w:tcW w:w="9589" w:type="dxa"/>
          </w:tcPr>
          <w:p w14:paraId="1E7B3CF4" w14:textId="66DA961A" w:rsidR="001C27B0" w:rsidRPr="00654100" w:rsidRDefault="001C27B0" w:rsidP="007D506B">
            <w:pPr>
              <w:pStyle w:val="Titre"/>
              <w:rPr>
                <w:rFonts w:ascii="Arial" w:hAnsi="Arial" w:cs="Arial"/>
                <w:noProof/>
                <w:sz w:val="26"/>
                <w:szCs w:val="26"/>
              </w:rPr>
            </w:pPr>
            <w:r w:rsidRPr="00654100">
              <w:rPr>
                <w:rFonts w:ascii="Arial" w:hAnsi="Arial" w:cs="Arial"/>
                <w:noProof/>
                <w:color w:val="auto"/>
                <w:sz w:val="26"/>
                <w:szCs w:val="26"/>
              </w:rPr>
              <w:t xml:space="preserve">ALAGBE </w:t>
            </w:r>
            <w:r w:rsidR="002E42AC" w:rsidRPr="00654100">
              <w:rPr>
                <w:rFonts w:ascii="Arial" w:hAnsi="Arial" w:cs="Arial"/>
                <w:noProof/>
                <w:color w:val="auto"/>
                <w:sz w:val="26"/>
                <w:szCs w:val="26"/>
              </w:rPr>
              <w:t xml:space="preserve">Ifèdé </w:t>
            </w:r>
            <w:r w:rsidRPr="00654100">
              <w:rPr>
                <w:rFonts w:ascii="Arial" w:hAnsi="Arial" w:cs="Arial"/>
                <w:noProof/>
                <w:color w:val="auto"/>
                <w:sz w:val="26"/>
                <w:szCs w:val="26"/>
              </w:rPr>
              <w:t>Prosper</w:t>
            </w:r>
          </w:p>
        </w:tc>
      </w:tr>
      <w:tr w:rsidR="001C27B0" w:rsidRPr="00654100" w14:paraId="3246CBC4" w14:textId="77777777" w:rsidTr="002A411B">
        <w:trPr>
          <w:trHeight w:val="88"/>
        </w:trPr>
        <w:tc>
          <w:tcPr>
            <w:tcW w:w="1509" w:type="dxa"/>
            <w:vMerge/>
          </w:tcPr>
          <w:p w14:paraId="7EF858A2" w14:textId="77777777" w:rsidR="001C27B0" w:rsidRPr="00654100" w:rsidRDefault="001C27B0" w:rsidP="005225A2">
            <w:pPr>
              <w:jc w:val="both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9589" w:type="dxa"/>
          </w:tcPr>
          <w:p w14:paraId="412A60DC" w14:textId="06C801E2" w:rsidR="007B5C54" w:rsidRPr="00654100" w:rsidRDefault="00087EAF" w:rsidP="00ED1C5E">
            <w:pPr>
              <w:pStyle w:val="En-tte"/>
              <w:rPr>
                <w:rFonts w:ascii="Arial" w:eastAsia="Times New Roman" w:hAnsi="Arial" w:cs="Arial"/>
                <w:color w:val="auto"/>
                <w:sz w:val="26"/>
                <w:szCs w:val="26"/>
                <w:lang w:eastAsia="fr-SN"/>
              </w:rPr>
            </w:pPr>
            <w:r w:rsidRPr="00654100">
              <w:rPr>
                <w:rFonts w:ascii="Arial" w:eastAsia="Times New Roman" w:hAnsi="Arial" w:cs="Arial"/>
                <w:color w:val="auto"/>
                <w:sz w:val="26"/>
                <w:szCs w:val="26"/>
                <w:lang w:eastAsia="fr-SN"/>
              </w:rPr>
              <w:t>Expert en Gestion des Risques, Audit &amp; Conformité | Directeur des Risques de BOA SENEGAL &amp; Formateur S</w:t>
            </w:r>
            <w:r w:rsidR="00B257B3" w:rsidRPr="00654100">
              <w:rPr>
                <w:rFonts w:ascii="Arial" w:eastAsia="Times New Roman" w:hAnsi="Arial" w:cs="Arial"/>
                <w:color w:val="auto"/>
                <w:sz w:val="26"/>
                <w:szCs w:val="26"/>
                <w:lang w:eastAsia="fr-SN"/>
              </w:rPr>
              <w:t>é</w:t>
            </w:r>
            <w:r w:rsidRPr="00654100">
              <w:rPr>
                <w:rFonts w:ascii="Arial" w:eastAsia="Times New Roman" w:hAnsi="Arial" w:cs="Arial"/>
                <w:color w:val="auto"/>
                <w:sz w:val="26"/>
                <w:szCs w:val="26"/>
                <w:lang w:eastAsia="fr-SN"/>
              </w:rPr>
              <w:t>nior</w:t>
            </w:r>
          </w:p>
          <w:p w14:paraId="186D4041" w14:textId="2634DA3A" w:rsidR="007B5C54" w:rsidRPr="00654100" w:rsidRDefault="007B5C54" w:rsidP="00ED1C5E">
            <w:pPr>
              <w:pStyle w:val="En-tte"/>
              <w:rPr>
                <w:rFonts w:ascii="Arial" w:eastAsia="Times New Roman" w:hAnsi="Arial" w:cs="Arial"/>
                <w:color w:val="auto"/>
                <w:lang w:eastAsia="fr-SN"/>
              </w:rPr>
            </w:pPr>
            <w:r w:rsidRPr="00654100">
              <w:rPr>
                <w:rFonts w:ascii="Arial" w:eastAsia="Times New Roman" w:hAnsi="Arial" w:cs="Arial"/>
                <w:color w:val="auto"/>
                <w:lang w:eastAsia="fr-SN"/>
              </w:rPr>
              <w:t xml:space="preserve">Courriel : </w:t>
            </w:r>
            <w:hyperlink r:id="rId11" w:history="1">
              <w:r w:rsidRPr="00654100">
                <w:rPr>
                  <w:rStyle w:val="Lienhypertexte"/>
                  <w:rFonts w:ascii="Arial" w:eastAsia="Times New Roman" w:hAnsi="Arial" w:cs="Arial"/>
                  <w:color w:val="auto"/>
                  <w:lang w:eastAsia="fr-SN"/>
                </w:rPr>
                <w:t>prosper49@hotmail.com</w:t>
              </w:r>
            </w:hyperlink>
            <w:r w:rsidRPr="00654100">
              <w:rPr>
                <w:rFonts w:ascii="Arial" w:eastAsia="Times New Roman" w:hAnsi="Arial" w:cs="Arial"/>
                <w:color w:val="auto"/>
                <w:lang w:eastAsia="fr-SN"/>
              </w:rPr>
              <w:t xml:space="preserve"> </w:t>
            </w:r>
            <w:r w:rsidR="003831AD" w:rsidRPr="00654100">
              <w:rPr>
                <w:rFonts w:ascii="Arial" w:eastAsia="Times New Roman" w:hAnsi="Arial" w:cs="Arial"/>
                <w:color w:val="auto"/>
                <w:lang w:eastAsia="fr-SN"/>
              </w:rPr>
              <w:t>/</w:t>
            </w:r>
            <w:r w:rsidRPr="00654100">
              <w:rPr>
                <w:rFonts w:ascii="Arial" w:eastAsia="Times New Roman" w:hAnsi="Arial" w:cs="Arial"/>
                <w:color w:val="auto"/>
                <w:lang w:eastAsia="fr-SN"/>
              </w:rPr>
              <w:t xml:space="preserve"> Tél : +221 76 476 31 72 </w:t>
            </w:r>
            <w:r w:rsidR="003831AD" w:rsidRPr="00654100">
              <w:rPr>
                <w:rFonts w:ascii="Arial" w:eastAsia="Times New Roman" w:hAnsi="Arial" w:cs="Arial"/>
                <w:color w:val="auto"/>
                <w:lang w:eastAsia="fr-SN"/>
              </w:rPr>
              <w:t xml:space="preserve"> / </w:t>
            </w:r>
            <w:r w:rsidRPr="00654100">
              <w:rPr>
                <w:rFonts w:ascii="Arial" w:eastAsia="Times New Roman" w:hAnsi="Arial" w:cs="Arial"/>
                <w:color w:val="auto"/>
                <w:lang w:eastAsia="fr-SN"/>
              </w:rPr>
              <w:t>Adresse : Cité Ataya, Nord Foire</w:t>
            </w:r>
            <w:r w:rsidR="00466949" w:rsidRPr="00654100">
              <w:rPr>
                <w:rFonts w:ascii="Arial" w:eastAsia="Times New Roman" w:hAnsi="Arial" w:cs="Arial"/>
                <w:color w:val="auto"/>
                <w:lang w:eastAsia="fr-SN"/>
              </w:rPr>
              <w:t xml:space="preserve">, </w:t>
            </w:r>
            <w:r w:rsidRPr="00654100">
              <w:rPr>
                <w:rFonts w:ascii="Arial" w:eastAsia="Times New Roman" w:hAnsi="Arial" w:cs="Arial"/>
                <w:color w:val="auto"/>
                <w:lang w:eastAsia="fr-SN"/>
              </w:rPr>
              <w:t>Dakar (Sénégal)</w:t>
            </w:r>
          </w:p>
        </w:tc>
      </w:tr>
      <w:tr w:rsidR="007B5C54" w:rsidRPr="00654100" w14:paraId="3B01EB57" w14:textId="77777777" w:rsidTr="002A411B">
        <w:trPr>
          <w:trHeight w:val="556"/>
        </w:trPr>
        <w:tc>
          <w:tcPr>
            <w:tcW w:w="11099" w:type="dxa"/>
            <w:gridSpan w:val="2"/>
            <w:vAlign w:val="center"/>
          </w:tcPr>
          <w:p w14:paraId="547AC0F5" w14:textId="77777777" w:rsidR="0011136C" w:rsidRPr="00654100" w:rsidRDefault="0011136C" w:rsidP="004746DF">
            <w:pPr>
              <w:jc w:val="both"/>
              <w:rPr>
                <w:rFonts w:ascii="Arial" w:hAnsi="Arial" w:cs="Arial"/>
                <w:i/>
                <w:iCs/>
                <w:color w:val="404040"/>
                <w:sz w:val="4"/>
                <w:szCs w:val="4"/>
                <w:shd w:val="clear" w:color="auto" w:fill="FFFFFF"/>
              </w:rPr>
            </w:pPr>
          </w:p>
          <w:p w14:paraId="5E31E3ED" w14:textId="18C7C71A" w:rsidR="007B5C54" w:rsidRPr="00654100" w:rsidRDefault="00087EAF" w:rsidP="004746DF">
            <w:pPr>
              <w:jc w:val="both"/>
              <w:rPr>
                <w:rFonts w:ascii="Arial" w:eastAsiaTheme="majorEastAsia" w:hAnsi="Arial" w:cs="Arial"/>
                <w:b/>
                <w:bCs/>
                <w:i/>
                <w:iCs/>
                <w:caps/>
                <w:noProof/>
                <w:color w:val="1D3251" w:themeColor="accent1"/>
                <w:spacing w:val="120"/>
                <w:sz w:val="32"/>
                <w:szCs w:val="32"/>
                <w:u w:val="single"/>
                <w:lang w:bidi="fr-FR"/>
              </w:rPr>
            </w:pPr>
            <w:r w:rsidRPr="00654100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18 ans d’expérience internationale</w:t>
            </w:r>
            <w:r w:rsidRPr="00654100"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 dans le secteur bancaire et le conseil, spécialisé dans la gouvernance des risques, la mise en conformité réglementaire et l’audit interne</w:t>
            </w:r>
            <w:r w:rsidR="00B257B3" w:rsidRPr="00654100">
              <w:rPr>
                <w:rStyle w:val="lev"/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. Leadership éprouvé en environnements multiples</w:t>
            </w:r>
          </w:p>
        </w:tc>
      </w:tr>
    </w:tbl>
    <w:p w14:paraId="57372DF1" w14:textId="77777777" w:rsidR="00D843C0" w:rsidRPr="00654100" w:rsidRDefault="00D843C0" w:rsidP="00547B49">
      <w:pPr>
        <w:pStyle w:val="Titre3"/>
        <w:rPr>
          <w:rFonts w:ascii="Arial" w:hAnsi="Arial" w:cs="Arial"/>
          <w:b/>
          <w:bCs/>
          <w:caps/>
          <w:noProof/>
          <w:spacing w:val="120"/>
          <w:sz w:val="4"/>
          <w:szCs w:val="4"/>
          <w:lang w:bidi="fr-FR"/>
        </w:rPr>
      </w:pPr>
    </w:p>
    <w:p w14:paraId="58C550A1" w14:textId="17F61959" w:rsidR="00A91EB8" w:rsidRPr="00654100" w:rsidRDefault="00A91EB8" w:rsidP="00547B49">
      <w:pPr>
        <w:pStyle w:val="Titre3"/>
        <w:rPr>
          <w:rFonts w:ascii="Arial" w:hAnsi="Arial" w:cs="Arial"/>
          <w:b/>
          <w:bCs/>
          <w:noProof/>
          <w:color w:val="0070C0"/>
          <w:sz w:val="26"/>
          <w:szCs w:val="26"/>
        </w:rPr>
      </w:pPr>
      <w:r w:rsidRPr="00654100">
        <w:rPr>
          <w:rFonts w:ascii="Arial" w:hAnsi="Arial" w:cs="Arial"/>
          <w:b/>
          <w:bCs/>
          <w:caps/>
          <w:noProof/>
          <w:color w:val="0070C0"/>
          <w:spacing w:val="120"/>
          <w:sz w:val="26"/>
          <w:szCs w:val="26"/>
          <w:lang w:bidi="fr-FR"/>
        </w:rPr>
        <w:t>COMPETENCES</w:t>
      </w:r>
    </w:p>
    <w:p w14:paraId="4F2BAC15" w14:textId="3EC70DF9" w:rsidR="004A59F5" w:rsidRPr="00654100" w:rsidRDefault="00A91EB8" w:rsidP="004A59F5">
      <w:pPr>
        <w:pStyle w:val="Titre5"/>
        <w:jc w:val="both"/>
        <w:rPr>
          <w:rFonts w:ascii="Arial" w:eastAsia="Times New Roman" w:hAnsi="Arial" w:cs="Arial"/>
          <w:color w:val="404040"/>
          <w:sz w:val="24"/>
          <w:szCs w:val="24"/>
          <w:lang w:eastAsia="fr-SN"/>
        </w:rPr>
      </w:pPr>
      <w:r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Gouvernance des</w:t>
      </w:r>
      <w:r w:rsidR="00185EC6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 xml:space="preserve"> </w:t>
      </w:r>
      <w:r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 xml:space="preserve">Risques, </w:t>
      </w:r>
      <w:r w:rsidR="004B0EEF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A</w:t>
      </w:r>
      <w:r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udit</w:t>
      </w:r>
      <w:r w:rsidR="00717398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,</w:t>
      </w:r>
      <w:r w:rsidR="00185EC6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 xml:space="preserve"> </w:t>
      </w:r>
      <w:r w:rsidR="004B0EEF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C</w:t>
      </w:r>
      <w:r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onformité</w:t>
      </w:r>
      <w:r w:rsidR="00717398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 xml:space="preserve"> &amp; </w:t>
      </w:r>
      <w:r w:rsidR="004B0EEF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G</w:t>
      </w:r>
      <w:r w:rsidR="00717398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estion de projets</w:t>
      </w:r>
      <w:r w:rsidR="00982B0D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 </w:t>
      </w:r>
    </w:p>
    <w:p w14:paraId="129EC523" w14:textId="77677387" w:rsidR="004A59F5" w:rsidRPr="00654100" w:rsidRDefault="00A91EB8" w:rsidP="00304877">
      <w:pPr>
        <w:pStyle w:val="Titre5"/>
        <w:numPr>
          <w:ilvl w:val="0"/>
          <w:numId w:val="11"/>
        </w:numPr>
        <w:jc w:val="both"/>
        <w:rPr>
          <w:rFonts w:ascii="Arial" w:hAnsi="Arial" w:cs="Arial"/>
          <w:noProof/>
          <w:sz w:val="20"/>
          <w:szCs w:val="20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Structurer et animer les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dispositifs de gestion des risques </w:t>
      </w:r>
      <w:r w:rsidR="005719F4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et </w:t>
      </w:r>
      <w:r w:rsidR="00717398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de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conformité</w:t>
      </w:r>
    </w:p>
    <w:p w14:paraId="6A7B0610" w14:textId="56C7FE93" w:rsidR="004A595B" w:rsidRPr="00654100" w:rsidRDefault="00A91EB8" w:rsidP="00D328B4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Conduire les chantiers de formalisation</w:t>
      </w:r>
      <w:r w:rsidR="00401F87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 : </w:t>
      </w:r>
      <w:r w:rsidR="00401F87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politiques, procédures,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cartographies</w:t>
      </w:r>
      <w:r w:rsidR="00401F87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 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de risques</w:t>
      </w:r>
      <w:r w:rsidR="00401F87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, stress tests, ICAAP </w:t>
      </w:r>
      <w:r w:rsidR="00401F87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(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Internal Capital Adequacy Assessment Process</w:t>
      </w:r>
      <w:r w:rsidR="00401F87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)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="005719F4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PCA, PPR, PFU</w:t>
      </w:r>
      <w:r w:rsidR="00D328B4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et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f</w:t>
      </w:r>
      <w:r w:rsidR="00D328B4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aire de </w:t>
      </w:r>
      <w:r w:rsidR="00D328B4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l’assistance à maîtrise d’ouvrage sur des projets informatiques et organisationnels</w:t>
      </w:r>
      <w:r w:rsidR="00D328B4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(Bâle III/IV, IFRS 9/17, ESG, RGPD, LCB/FT, ISO 31 000, 27001, 22301, FATCA</w:t>
      </w:r>
      <w:r w:rsidR="00466949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…</w:t>
      </w:r>
      <w:r w:rsidR="00D328B4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)</w:t>
      </w:r>
    </w:p>
    <w:p w14:paraId="4FD5D125" w14:textId="517E230B" w:rsidR="00A91EB8" w:rsidRPr="00654100" w:rsidRDefault="00A91EB8" w:rsidP="00304877">
      <w:pPr>
        <w:pStyle w:val="Titre5"/>
        <w:numPr>
          <w:ilvl w:val="0"/>
          <w:numId w:val="11"/>
        </w:numPr>
        <w:jc w:val="both"/>
        <w:rPr>
          <w:rFonts w:ascii="Arial" w:hAnsi="Arial" w:cs="Arial"/>
          <w:noProof/>
          <w:sz w:val="20"/>
          <w:szCs w:val="20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Conduire des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missions d’audit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dans des environnements internationaux en banques, Fintech et en industries</w:t>
      </w:r>
    </w:p>
    <w:p w14:paraId="0636F4C5" w14:textId="6F134E6F" w:rsidR="004A59F5" w:rsidRPr="00654100" w:rsidRDefault="004A59F5" w:rsidP="00304877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Concevoir et exécuter des formations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dans les domaines liés à la mise en conformité règlementaire,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l’optimisation des processus opérationnels, la gestion de reportings, la comptabilité bancaire</w:t>
      </w:r>
      <w:r w:rsidR="006B7EB5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,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les normes IFRS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</w:t>
      </w:r>
      <w:r w:rsidR="006B7EB5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le 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</w:t>
      </w:r>
      <w:r w:rsidR="006B7EB5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ommerce international, le contrôle permanent, l’audit</w:t>
      </w:r>
      <w:r w:rsidR="00304877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et les outils de gestion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comme Access &amp; Excel</w:t>
      </w:r>
    </w:p>
    <w:p w14:paraId="4BF31FEA" w14:textId="2FFE35AA" w:rsidR="004A59F5" w:rsidRPr="00654100" w:rsidRDefault="004A59F5" w:rsidP="00D91C55">
      <w:pPr>
        <w:pStyle w:val="Titre5"/>
        <w:jc w:val="both"/>
        <w:rPr>
          <w:rFonts w:ascii="Arial" w:eastAsia="Times New Roman" w:hAnsi="Arial" w:cs="Arial"/>
          <w:color w:val="0070C0"/>
          <w:sz w:val="24"/>
          <w:szCs w:val="24"/>
          <w:lang w:eastAsia="fr-SN"/>
        </w:rPr>
      </w:pPr>
      <w:r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Outils</w:t>
      </w:r>
      <w:r w:rsidR="00311173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 xml:space="preserve"> </w:t>
      </w:r>
      <w:r w:rsidR="00B3156F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et langues maîtrisées</w:t>
      </w:r>
      <w:r w:rsidR="00982B0D" w:rsidRPr="00654100">
        <w:rPr>
          <w:rFonts w:ascii="Arial" w:eastAsia="Times New Roman" w:hAnsi="Arial" w:cs="Arial"/>
          <w:color w:val="0070C0"/>
          <w:sz w:val="24"/>
          <w:szCs w:val="24"/>
          <w:lang w:eastAsia="fr-SN"/>
        </w:rPr>
        <w:t> </w:t>
      </w:r>
    </w:p>
    <w:p w14:paraId="36821E4C" w14:textId="52B4F8AD" w:rsidR="004A59F5" w:rsidRPr="00654100" w:rsidRDefault="004A59F5" w:rsidP="007F6C6E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W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ord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 P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ower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P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oint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 A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ccess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 E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xcel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, </w:t>
      </w:r>
      <w:r w:rsidR="003012B0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ACL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 S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hare Point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 O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utlook,</w:t>
      </w:r>
      <w:r w:rsidR="0031117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W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ordpress et plusieurs IA</w:t>
      </w:r>
    </w:p>
    <w:p w14:paraId="007A0119" w14:textId="73795675" w:rsidR="00B3156F" w:rsidRPr="00654100" w:rsidRDefault="00B3156F" w:rsidP="00B3156F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i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i/>
          <w:color w:val="404040"/>
          <w:sz w:val="20"/>
          <w:szCs w:val="20"/>
          <w:lang w:eastAsia="fr-SN"/>
        </w:rPr>
        <w:t xml:space="preserve">Langues : Français ( expert) ; </w:t>
      </w:r>
      <w:r w:rsidRPr="00654100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fr-SN"/>
        </w:rPr>
        <w:t>Anglais (</w:t>
      </w:r>
      <w:r w:rsidR="00E23089" w:rsidRPr="00654100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fr-SN"/>
        </w:rPr>
        <w:t>Opérationnel</w:t>
      </w:r>
      <w:r w:rsidRPr="00654100">
        <w:rPr>
          <w:rFonts w:ascii="Arial" w:eastAsia="Times New Roman" w:hAnsi="Arial" w:cs="Arial"/>
          <w:b/>
          <w:bCs/>
          <w:i/>
          <w:color w:val="404040"/>
          <w:sz w:val="20"/>
          <w:szCs w:val="20"/>
          <w:lang w:eastAsia="fr-SN"/>
        </w:rPr>
        <w:t>)</w:t>
      </w:r>
    </w:p>
    <w:p w14:paraId="4260D5C7" w14:textId="77777777" w:rsidR="00D843C0" w:rsidRPr="00654100" w:rsidRDefault="00D843C0" w:rsidP="00B3156F">
      <w:pPr>
        <w:rPr>
          <w:rFonts w:ascii="Arial" w:hAnsi="Arial" w:cs="Arial"/>
          <w:sz w:val="10"/>
          <w:szCs w:val="10"/>
          <w:lang w:eastAsia="fr-SN"/>
        </w:rPr>
      </w:pPr>
    </w:p>
    <w:p w14:paraId="04F6F57B" w14:textId="77777777" w:rsidR="00495223" w:rsidRPr="00654100" w:rsidRDefault="00495223" w:rsidP="00547B49">
      <w:pPr>
        <w:pStyle w:val="Titre3"/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</w:pPr>
      <w:r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>EXPÉRIENCES PROFESSIONNELLES</w:t>
      </w:r>
    </w:p>
    <w:p w14:paraId="0937FCB4" w14:textId="2DFDEAF6" w:rsidR="00080EB0" w:rsidRPr="00654100" w:rsidRDefault="00495223" w:rsidP="00EE585F">
      <w:pPr>
        <w:pStyle w:val="Titre5"/>
        <w:jc w:val="both"/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</w:pP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DIRECTEUR DES RISQUES / BOA SÉNÉGAL (D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éc.</w:t>
      </w:r>
      <w:r w:rsidR="00D328B4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2021</w:t>
      </w:r>
      <w:r w:rsidR="0065410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–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Présentement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)</w:t>
      </w:r>
    </w:p>
    <w:p w14:paraId="69425931" w14:textId="4DB00D85" w:rsidR="00EE585F" w:rsidRPr="00654100" w:rsidRDefault="008B45FE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A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mélioration </w:t>
      </w:r>
      <w:r w:rsidR="00326D9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du cadre de </w:t>
      </w:r>
      <w:r w:rsidR="00326D93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gouvernance des risques</w:t>
      </w:r>
      <w:r w:rsidR="00326D9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et des délais de reportings (</w:t>
      </w:r>
      <w:r w:rsidR="004B0EEF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r</w:t>
      </w:r>
      <w:r w:rsidR="00326D9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éduction de 20% des délais grâce à la mise en place d’outils ACCES et Excel de traitement)</w:t>
      </w:r>
    </w:p>
    <w:p w14:paraId="172AC5BA" w14:textId="76039888" w:rsidR="00EE585F" w:rsidRPr="00654100" w:rsidRDefault="004A595B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Management de 3 services / 8 collaborateurs :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 Risque de Crédit, Risque Opérationnel ,</w:t>
      </w:r>
      <w:r w:rsidR="003831AD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ALM (Asset-Liability Management) &amp; Risque de Marché</w:t>
      </w:r>
    </w:p>
    <w:p w14:paraId="5D27BCF4" w14:textId="02FF84DC" w:rsidR="00EE585F" w:rsidRPr="00654100" w:rsidRDefault="004A595B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Gouvernance des risques :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f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ormalisation et mise en œuvre de la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stratégie de gestion des risques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 des politiques, plans, procédures,</w:t>
      </w:r>
      <w:r w:rsidR="000C4740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de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l’ICAAP,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des cartographies des risques et du BIA</w:t>
      </w:r>
    </w:p>
    <w:p w14:paraId="3C2C3596" w14:textId="1F988B52" w:rsidR="00EE585F" w:rsidRPr="00654100" w:rsidRDefault="005719F4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Reporting :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roduction des reportings (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f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ormulaires de déclaration prudentielle</w:t>
      </w:r>
      <w:r w:rsidR="00982B0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="00982B0D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FODEP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, reportings règlementaires et groupe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)</w:t>
      </w:r>
    </w:p>
    <w:p w14:paraId="3F7E60BA" w14:textId="3A258064" w:rsidR="00EE585F" w:rsidRPr="00654100" w:rsidRDefault="00304877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Comités :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s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ecrétariat des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omités (Spécialisé des Risques, PPR, Comité RO, ALM, Risque de marché) et membre des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omités ( Direction,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ilotage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rojets,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oordination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ontrôle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i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nterne,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validation des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procédures ...)</w:t>
      </w:r>
    </w:p>
    <w:p w14:paraId="7B19B5EB" w14:textId="4BBB3E44" w:rsidR="004B0EEF" w:rsidRPr="00654100" w:rsidRDefault="004B0EEF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Monitoring des limites :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ilotage du dispositif de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monitoring et alerte sur les limites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(appétences, concentration, liquidité, marché, taux global,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lan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réventif de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r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edressement,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lan de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f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inancement d’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u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rgence,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o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pérationnelles)</w:t>
      </w:r>
    </w:p>
    <w:p w14:paraId="7BFFB056" w14:textId="4F348D1B" w:rsidR="002A411B" w:rsidRPr="00654100" w:rsidRDefault="002A411B" w:rsidP="002A411B">
      <w:pPr>
        <w:pStyle w:val="Titre5"/>
        <w:jc w:val="both"/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</w:pP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INSPECTEUR GROUPE CHEF DE MISSION / BOA HOLDING (J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uin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2016</w:t>
      </w:r>
      <w:r w:rsidR="0065410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–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D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éc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2021)</w:t>
      </w:r>
    </w:p>
    <w:p w14:paraId="279BF242" w14:textId="69508A8C" w:rsidR="002A411B" w:rsidRPr="00654100" w:rsidRDefault="002A411B" w:rsidP="002A411B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Audit financier et comptable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des filiales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bancaires et de services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du groupe (Afrique,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France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)</w:t>
      </w:r>
    </w:p>
    <w:p w14:paraId="19A684F9" w14:textId="51E00083" w:rsidR="002A411B" w:rsidRPr="00654100" w:rsidRDefault="002A411B" w:rsidP="002A411B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Conduite des missions d’inspection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d’affaires spéciales et de fraudes</w:t>
      </w:r>
    </w:p>
    <w:p w14:paraId="196200D3" w14:textId="198091C3" w:rsidR="00583E4C" w:rsidRPr="00654100" w:rsidRDefault="00583E4C" w:rsidP="00583E4C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Supervision de l’exécution des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plans d’audit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des filiales et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conseil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et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formation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des équipes de la filière contrôle périodique (formation des équipes des sept filiales UMOA notamment sur le dispositif prudentiel et la fraude)</w:t>
      </w:r>
    </w:p>
    <w:p w14:paraId="7427775C" w14:textId="77777777" w:rsidR="00816E81" w:rsidRPr="00654100" w:rsidRDefault="00816E81" w:rsidP="00816E81">
      <w:pPr>
        <w:rPr>
          <w:rFonts w:ascii="Arial" w:hAnsi="Arial" w:cs="Arial"/>
          <w:sz w:val="6"/>
          <w:szCs w:val="6"/>
          <w:lang w:eastAsia="fr-SN"/>
        </w:rPr>
      </w:pPr>
    </w:p>
    <w:p w14:paraId="1ED656DC" w14:textId="5C9B3E32" w:rsidR="00495223" w:rsidRPr="00654100" w:rsidRDefault="00495223" w:rsidP="00EE585F">
      <w:pPr>
        <w:pStyle w:val="Titre5"/>
        <w:jc w:val="both"/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</w:pP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lastRenderedPageBreak/>
        <w:t>DIRECTEUR DES RISQUES &amp; CONTRÔLE INTERNE / BOA FRANCE (D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éc</w:t>
      </w:r>
      <w:r w:rsidR="00D843C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2015</w:t>
      </w:r>
      <w:r w:rsidR="0065410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–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J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uin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2016)</w:t>
      </w:r>
    </w:p>
    <w:p w14:paraId="5D80B42E" w14:textId="74649617" w:rsidR="00EE585F" w:rsidRPr="00654100" w:rsidRDefault="00080EB0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Renforcement du dispositif 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de gestion des risques</w:t>
      </w:r>
    </w:p>
    <w:p w14:paraId="1BBAFE27" w14:textId="709CF13F" w:rsidR="00EE585F" w:rsidRPr="00654100" w:rsidRDefault="00D843C0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M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ise en place de nouveaux </w:t>
      </w:r>
      <w:r w:rsidR="00495223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canevas d’analyse des dossiers et de scoring crédit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 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et a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mélioration du dispositif de </w:t>
      </w:r>
      <w:r w:rsidR="00495223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reporting règlementaire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(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d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éploiement de nouvelles matrices Excel pour le reporting Bâle 3 </w:t>
      </w:r>
      <w:r w:rsidR="00495223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COREP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-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Common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solvency ratio reporting,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a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nalyse de crédit)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 </w:t>
      </w:r>
    </w:p>
    <w:p w14:paraId="0B1FC779" w14:textId="4FDFE955" w:rsidR="00EE585F" w:rsidRPr="00654100" w:rsidRDefault="00495223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Déclinaison du </w:t>
      </w:r>
      <w:r w:rsidR="003831AD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plan de continuité d’activité opérationnel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du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groupe</w:t>
      </w:r>
      <w:r w:rsidR="003831A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au niveau de la filiale</w:t>
      </w:r>
    </w:p>
    <w:p w14:paraId="621E85BB" w14:textId="5C074E00" w:rsidR="00495223" w:rsidRPr="00654100" w:rsidRDefault="00D843C0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Management de 3 services /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4 collaborateurs 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(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Analyse de crédit, Contrôle permanent, Conformité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)</w:t>
      </w:r>
    </w:p>
    <w:p w14:paraId="09236731" w14:textId="77777777" w:rsidR="00816E81" w:rsidRPr="00654100" w:rsidRDefault="00816E81" w:rsidP="00816E81">
      <w:pPr>
        <w:rPr>
          <w:rFonts w:ascii="Arial" w:hAnsi="Arial" w:cs="Arial"/>
          <w:sz w:val="4"/>
          <w:szCs w:val="4"/>
          <w:lang w:eastAsia="fr-SN"/>
        </w:rPr>
      </w:pPr>
    </w:p>
    <w:p w14:paraId="598C7359" w14:textId="23C42030" w:rsidR="00495223" w:rsidRPr="00654100" w:rsidRDefault="00495223" w:rsidP="00EE585F">
      <w:pPr>
        <w:pStyle w:val="Titre5"/>
        <w:jc w:val="both"/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</w:pP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RESPONSABLE DU CONTRÔLE PERMANENT ET DE LA CONFORMITE</w:t>
      </w:r>
      <w:r w:rsidR="00D843C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</w:t>
      </w:r>
      <w:r w:rsidR="00326D93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/</w:t>
      </w:r>
      <w:r w:rsidR="00D843C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</w:t>
      </w:r>
      <w:r w:rsidR="00326D93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BOA F</w:t>
      </w:r>
      <w:r w:rsidR="004B0EEF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RANCE</w:t>
      </w:r>
      <w:r w:rsidR="00326D93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 (J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uin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2013</w:t>
      </w:r>
      <w:r w:rsidR="0065410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–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D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éc.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2015) </w:t>
      </w:r>
    </w:p>
    <w:p w14:paraId="1EC8C6C3" w14:textId="465D97AB" w:rsidR="00EE585F" w:rsidRPr="00654100" w:rsidRDefault="00304877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Renforcement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du </w:t>
      </w:r>
      <w:r w:rsidR="00495223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dispositif conformité notamment le dispositif de lutte contre le blanchiment de capitaux et le financement du terrorisme</w:t>
      </w:r>
    </w:p>
    <w:p w14:paraId="568E34A9" w14:textId="30712385" w:rsidR="00EE585F" w:rsidRPr="00654100" w:rsidRDefault="00495223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Contribution à l’élaboration du dossier de défense dans le cadre d’une procédure disciplinaire ACPR (Autorité de Contrôle Prudentiel et de Résolution)</w:t>
      </w:r>
      <w:r w:rsidR="00304877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et déploiement du cadre FATCA</w:t>
      </w:r>
    </w:p>
    <w:p w14:paraId="24EF78A2" w14:textId="7F6C82E6" w:rsidR="00495223" w:rsidRPr="00654100" w:rsidRDefault="00495223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Management de 2 services / 3 collaborateurs </w:t>
      </w:r>
      <w:r w:rsidR="00B07771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(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Contrôle permanent</w:t>
      </w:r>
      <w:r w:rsidR="00B07771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 et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 Conformité</w:t>
      </w:r>
      <w:r w:rsidR="00BF2D20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 &amp; Sécurité Financière</w:t>
      </w:r>
      <w:r w:rsidR="00B07771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)</w:t>
      </w:r>
    </w:p>
    <w:p w14:paraId="12D87EFA" w14:textId="77777777" w:rsidR="00816E81" w:rsidRPr="00654100" w:rsidRDefault="00816E81" w:rsidP="00816E81">
      <w:pPr>
        <w:rPr>
          <w:rFonts w:ascii="Arial" w:hAnsi="Arial" w:cs="Arial"/>
          <w:sz w:val="4"/>
          <w:szCs w:val="4"/>
          <w:lang w:eastAsia="fr-SN"/>
        </w:rPr>
      </w:pPr>
    </w:p>
    <w:p w14:paraId="48417230" w14:textId="0E8C8FC1" w:rsidR="00495223" w:rsidRPr="00654100" w:rsidRDefault="00495223" w:rsidP="00EE585F">
      <w:pPr>
        <w:pStyle w:val="Titre5"/>
        <w:jc w:val="both"/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</w:pPr>
      <w:bookmarkStart w:id="0" w:name="_Hlk198565592"/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CONSULTANT SENIOR / CABINET ALTI (O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ct.</w:t>
      </w:r>
      <w:r w:rsidR="00D843C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2009</w:t>
      </w:r>
      <w:r w:rsidR="0065410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–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Juin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2013)</w:t>
      </w:r>
    </w:p>
    <w:p w14:paraId="7FA5B4E5" w14:textId="00E6ACBE" w:rsidR="00EE585F" w:rsidRPr="00654100" w:rsidRDefault="00080188" w:rsidP="00B07771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Mener à bien les missions confiées auprès des clients à la fois sur les aspects organisationnels et systèmes d’information</w:t>
      </w:r>
      <w:r w:rsidR="00304877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dans le cadre règlementaire</w:t>
      </w:r>
      <w:bookmarkEnd w:id="0"/>
      <w:r w:rsidR="00B07771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(</w:t>
      </w:r>
      <w:r w:rsidR="00B07771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m</w:t>
      </w:r>
      <w:r w:rsidR="00495223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issions AMOA</w:t>
      </w:r>
      <w:r w:rsidR="00495223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pour BNP Paribas (SIRON KYC), Natixis (outil KYC Concord@nce) et Sodexo (agrément EME)</w:t>
      </w:r>
    </w:p>
    <w:p w14:paraId="6F578FEB" w14:textId="2C7D99D1" w:rsidR="00816E81" w:rsidRPr="00654100" w:rsidRDefault="00495223" w:rsidP="00EE585F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Audit externalisé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pour Paytop, Prisma Media, C2A (Compagnie de l’Arc Atlantique</w:t>
      </w:r>
      <w:r w:rsidR="00B07771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)</w:t>
      </w:r>
    </w:p>
    <w:p w14:paraId="5725B76F" w14:textId="77777777" w:rsidR="000B462F" w:rsidRPr="00654100" w:rsidRDefault="000B462F" w:rsidP="000B462F">
      <w:pPr>
        <w:rPr>
          <w:rFonts w:ascii="Arial" w:hAnsi="Arial" w:cs="Arial"/>
          <w:sz w:val="4"/>
          <w:szCs w:val="4"/>
          <w:lang w:eastAsia="fr-SN"/>
        </w:rPr>
      </w:pPr>
    </w:p>
    <w:p w14:paraId="2F0901AA" w14:textId="580BEE29" w:rsidR="000B462F" w:rsidRPr="00654100" w:rsidRDefault="000B462F" w:rsidP="000B462F">
      <w:pPr>
        <w:pStyle w:val="Titre5"/>
        <w:jc w:val="both"/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</w:pP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STAGIAIRE CHARGE DE MISSION PUIS CONTRÔLEUR INTERNE AML / NATIXIS (</w:t>
      </w:r>
      <w:r w:rsidR="0065410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F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 xml:space="preserve">évr. 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2008</w:t>
      </w:r>
      <w:r w:rsidR="00654100"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–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S</w:t>
      </w:r>
      <w:r w:rsid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ep.</w:t>
      </w:r>
      <w:r w:rsidRPr="00654100">
        <w:rPr>
          <w:rFonts w:ascii="Arial" w:eastAsia="Times New Roman" w:hAnsi="Arial" w:cs="Arial"/>
          <w:i w:val="0"/>
          <w:iCs/>
          <w:color w:val="0070C0"/>
          <w:sz w:val="22"/>
          <w:szCs w:val="22"/>
          <w:lang w:eastAsia="fr-SN"/>
        </w:rPr>
        <w:t>2009)</w:t>
      </w:r>
    </w:p>
    <w:p w14:paraId="14B620F2" w14:textId="0AE034FC" w:rsidR="00816E81" w:rsidRPr="00654100" w:rsidRDefault="000B462F" w:rsidP="00816E81">
      <w:pPr>
        <w:pStyle w:val="Titre5"/>
        <w:numPr>
          <w:ilvl w:val="0"/>
          <w:numId w:val="2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Participation aux opérations spécifiques et les activités L</w:t>
      </w:r>
      <w:r w:rsidR="002B36DE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CB/CFT (Avis EER risques élevés, traitement des alertes)</w:t>
      </w:r>
    </w:p>
    <w:p w14:paraId="5593D132" w14:textId="77777777" w:rsidR="002B36DE" w:rsidRPr="00654100" w:rsidRDefault="002B36DE" w:rsidP="002B36DE">
      <w:pPr>
        <w:rPr>
          <w:rFonts w:ascii="Arial" w:hAnsi="Arial" w:cs="Arial"/>
          <w:sz w:val="4"/>
          <w:szCs w:val="4"/>
          <w:lang w:eastAsia="fr-SN"/>
        </w:rPr>
      </w:pPr>
    </w:p>
    <w:p w14:paraId="747169A6" w14:textId="788A17F0" w:rsidR="00304877" w:rsidRPr="00654100" w:rsidRDefault="00EE585F" w:rsidP="00816E81">
      <w:pPr>
        <w:pStyle w:val="Titre3"/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</w:pPr>
      <w:r w:rsidRPr="00654100">
        <w:rPr>
          <w:rFonts w:ascii="Arial" w:hAnsi="Arial" w:cs="Arial"/>
          <w:color w:val="404040"/>
          <w:shd w:val="clear" w:color="auto" w:fill="FFFFFF"/>
        </w:rPr>
        <w:t xml:space="preserve"> </w:t>
      </w:r>
      <w:r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>Diplôme Académique Supérieur</w:t>
      </w:r>
    </w:p>
    <w:p w14:paraId="580C5610" w14:textId="6982A185" w:rsidR="00816E81" w:rsidRPr="00654100" w:rsidRDefault="00304877" w:rsidP="002F7670">
      <w:pPr>
        <w:pStyle w:val="Titre5"/>
        <w:jc w:val="both"/>
        <w:rPr>
          <w:rFonts w:ascii="Arial" w:eastAsia="Times New Roman" w:hAnsi="Arial" w:cs="Arial"/>
          <w:color w:val="404040"/>
          <w:sz w:val="22"/>
          <w:szCs w:val="22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2"/>
          <w:szCs w:val="22"/>
          <w:lang w:eastAsia="fr-SN"/>
        </w:rPr>
        <w:t xml:space="preserve">Master professionnel en Audit &amp; Gestion des Risques (Université d’Angers) | </w:t>
      </w:r>
      <w:r w:rsidRPr="00654100">
        <w:rPr>
          <w:rFonts w:ascii="Arial" w:eastAsia="Times New Roman" w:hAnsi="Arial" w:cs="Arial"/>
          <w:b/>
          <w:bCs/>
          <w:color w:val="404040"/>
          <w:sz w:val="22"/>
          <w:szCs w:val="22"/>
          <w:lang w:eastAsia="fr-SN"/>
        </w:rPr>
        <w:t>Mention Bien</w:t>
      </w:r>
      <w:r w:rsidRPr="00654100">
        <w:rPr>
          <w:rFonts w:ascii="Arial" w:eastAsia="Times New Roman" w:hAnsi="Arial" w:cs="Arial"/>
          <w:color w:val="404040"/>
          <w:sz w:val="22"/>
          <w:szCs w:val="22"/>
          <w:lang w:eastAsia="fr-SN"/>
        </w:rPr>
        <w:t xml:space="preserve"> – 2008</w:t>
      </w:r>
    </w:p>
    <w:p w14:paraId="4D84FB7C" w14:textId="77777777" w:rsidR="004E1E08" w:rsidRPr="00654100" w:rsidRDefault="004E1E08" w:rsidP="00816E81">
      <w:pPr>
        <w:pStyle w:val="Titre3"/>
        <w:rPr>
          <w:rFonts w:ascii="Arial" w:hAnsi="Arial" w:cs="Arial"/>
          <w:b/>
          <w:bCs/>
          <w:i/>
          <w:iCs/>
          <w:caps/>
          <w:noProof/>
          <w:spacing w:val="120"/>
          <w:sz w:val="4"/>
          <w:szCs w:val="4"/>
          <w:lang w:bidi="fr-FR"/>
        </w:rPr>
      </w:pPr>
    </w:p>
    <w:p w14:paraId="0D58824B" w14:textId="53C1D13D" w:rsidR="00895DA1" w:rsidRPr="00654100" w:rsidRDefault="00895DA1" w:rsidP="00816E81">
      <w:pPr>
        <w:pStyle w:val="Titre3"/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</w:pPr>
      <w:r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>FORMATIO</w:t>
      </w:r>
      <w:r w:rsidR="00C86CA4"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>NS</w:t>
      </w:r>
      <w:r w:rsidR="00816E81"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 xml:space="preserve"> </w:t>
      </w:r>
      <w:r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>CONTINUE</w:t>
      </w:r>
      <w:r w:rsidR="00C86CA4"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>S</w:t>
      </w:r>
      <w:r w:rsidR="00816E81"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 xml:space="preserve"> &amp; CERTIFICATS</w:t>
      </w:r>
    </w:p>
    <w:p w14:paraId="2D2D3E2F" w14:textId="537B524E" w:rsidR="00C86CA4" w:rsidRPr="00654100" w:rsidRDefault="00895DA1" w:rsidP="0019572C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Formations sans certification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 : 2010- Gestion de projets (ORXYS) ; 2020 - Business communication skills (anglais) (BRITISH COUNCIL) ; 2022 - Développement managérial (BMCE BANK OF AFRICA ACADEMY), 2024 : Formations aux normes ISO 31000 (gestion des risques), ISO 27001 (sécurité de l’information), ISO 22301 (continuité d’activité)</w:t>
      </w:r>
    </w:p>
    <w:p w14:paraId="276F2E53" w14:textId="3D115A8B" w:rsidR="00895DA1" w:rsidRPr="00654100" w:rsidRDefault="00895DA1" w:rsidP="0019572C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Certificat Fraud Manager (NITYDE)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– </w:t>
      </w:r>
      <w:r w:rsidR="00C86CA4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2019- 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Spécialisé dans le déploiement de dispositifs de prévention et de gestion de la fraude</w:t>
      </w:r>
    </w:p>
    <w:p w14:paraId="13FE2B26" w14:textId="77777777" w:rsidR="00816E81" w:rsidRPr="00654100" w:rsidRDefault="00816E81" w:rsidP="00816E81">
      <w:pPr>
        <w:rPr>
          <w:rFonts w:ascii="Arial" w:hAnsi="Arial" w:cs="Arial"/>
          <w:sz w:val="4"/>
          <w:szCs w:val="4"/>
          <w:lang w:eastAsia="fr-SN"/>
        </w:rPr>
      </w:pPr>
    </w:p>
    <w:p w14:paraId="1155203A" w14:textId="77777777" w:rsidR="003A5089" w:rsidRPr="00654100" w:rsidRDefault="003A5089" w:rsidP="00547B49">
      <w:pPr>
        <w:pStyle w:val="Titre3"/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</w:pPr>
      <w:r w:rsidRPr="00654100">
        <w:rPr>
          <w:rFonts w:ascii="Arial" w:hAnsi="Arial" w:cs="Arial"/>
          <w:b/>
          <w:bCs/>
          <w:i/>
          <w:iCs/>
          <w:caps/>
          <w:noProof/>
          <w:color w:val="0070C0"/>
          <w:spacing w:val="120"/>
          <w:sz w:val="26"/>
          <w:szCs w:val="26"/>
          <w:lang w:bidi="fr-FR"/>
        </w:rPr>
        <w:t>SOFT SKILLS</w:t>
      </w:r>
    </w:p>
    <w:p w14:paraId="1446E031" w14:textId="652DF512" w:rsidR="00923181" w:rsidRPr="00654100" w:rsidRDefault="003A5089" w:rsidP="00923181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00206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Forte capacité de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conceptualisation</w:t>
      </w:r>
      <w:r w:rsidR="0011136C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 xml:space="preserve"> et </w:t>
      </w:r>
      <w:r w:rsidR="000C4740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d’</w:t>
      </w:r>
      <w:r w:rsidR="0011136C"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organisation</w:t>
      </w:r>
      <w:r w:rsidR="0011136C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(</w:t>
      </w:r>
      <w:r w:rsidR="00EA5DBD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déploiement fréquent de dispositifs</w:t>
      </w:r>
      <w:r w:rsidR="00923181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et de programmes de formation e-learning </w:t>
      </w:r>
      <w:hyperlink r:id="rId12" w:history="1">
        <w:r w:rsidR="00923181" w:rsidRPr="00654100">
          <w:rPr>
            <w:rStyle w:val="Lienhypertexte"/>
            <w:rFonts w:ascii="Arial" w:eastAsia="Times New Roman" w:hAnsi="Arial" w:cs="Arial"/>
            <w:color w:val="002060"/>
            <w:sz w:val="20"/>
            <w:szCs w:val="20"/>
            <w:lang w:eastAsia="fr-SN"/>
          </w:rPr>
          <w:t>https://certificationbale.net/certif/</w:t>
        </w:r>
      </w:hyperlink>
      <w:r w:rsidR="000947DB" w:rsidRPr="00654100">
        <w:rPr>
          <w:rFonts w:ascii="Arial" w:eastAsia="Times New Roman" w:hAnsi="Arial" w:cs="Arial"/>
          <w:color w:val="002060"/>
          <w:sz w:val="20"/>
          <w:szCs w:val="20"/>
          <w:lang w:eastAsia="fr-SN"/>
        </w:rPr>
        <w:t xml:space="preserve"> </w:t>
      </w:r>
      <w:r w:rsidR="00923181" w:rsidRPr="00654100">
        <w:rPr>
          <w:rFonts w:ascii="Arial" w:eastAsia="Times New Roman" w:hAnsi="Arial" w:cs="Arial"/>
          <w:color w:val="002060"/>
          <w:sz w:val="20"/>
          <w:szCs w:val="20"/>
          <w:lang w:eastAsia="fr-SN"/>
        </w:rPr>
        <w:t xml:space="preserve">, </w:t>
      </w:r>
      <w:hyperlink r:id="rId13" w:history="1">
        <w:r w:rsidR="00923181" w:rsidRPr="00654100">
          <w:rPr>
            <w:rStyle w:val="Lienhypertexte"/>
            <w:rFonts w:ascii="Arial" w:eastAsia="Times New Roman" w:hAnsi="Arial" w:cs="Arial"/>
            <w:color w:val="002060"/>
            <w:sz w:val="20"/>
            <w:szCs w:val="20"/>
            <w:lang w:eastAsia="fr-SN"/>
          </w:rPr>
          <w:t>https://certificationbale.net/fraudmanager/</w:t>
        </w:r>
      </w:hyperlink>
      <w:r w:rsidR="00923181" w:rsidRPr="00654100">
        <w:rPr>
          <w:rFonts w:ascii="Arial" w:eastAsia="Times New Roman" w:hAnsi="Arial" w:cs="Arial"/>
          <w:color w:val="002060"/>
          <w:sz w:val="20"/>
          <w:szCs w:val="20"/>
          <w:lang w:eastAsia="fr-SN"/>
        </w:rPr>
        <w:t xml:space="preserve"> )</w:t>
      </w:r>
    </w:p>
    <w:p w14:paraId="52277272" w14:textId="5F8905E9" w:rsidR="003A5089" w:rsidRPr="00654100" w:rsidRDefault="003A5089" w:rsidP="003A5089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Bonne </w:t>
      </w: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communication interculturelle et écoute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="0011136C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(management de plusieurs équipes interculturelles en France et Afrique)</w:t>
      </w:r>
    </w:p>
    <w:p w14:paraId="74FF853E" w14:textId="26B4A9B7" w:rsidR="00304877" w:rsidRPr="00654100" w:rsidRDefault="003A5089" w:rsidP="00C42081">
      <w:pPr>
        <w:pStyle w:val="Titre5"/>
        <w:numPr>
          <w:ilvl w:val="0"/>
          <w:numId w:val="11"/>
        </w:numPr>
        <w:jc w:val="both"/>
        <w:rPr>
          <w:rFonts w:ascii="Arial" w:eastAsia="Times New Roman" w:hAnsi="Arial" w:cs="Arial"/>
          <w:color w:val="404040"/>
          <w:sz w:val="20"/>
          <w:szCs w:val="20"/>
          <w:lang w:eastAsia="fr-SN"/>
        </w:rPr>
      </w:pPr>
      <w:r w:rsidRPr="00654100">
        <w:rPr>
          <w:rFonts w:ascii="Arial" w:eastAsia="Times New Roman" w:hAnsi="Arial" w:cs="Arial"/>
          <w:b/>
          <w:bCs/>
          <w:color w:val="404040"/>
          <w:sz w:val="20"/>
          <w:szCs w:val="20"/>
          <w:lang w:eastAsia="fr-SN"/>
        </w:rPr>
        <w:t>Leadership</w:t>
      </w:r>
      <w:r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</w:t>
      </w:r>
      <w:r w:rsidR="0011136C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>(plusieurs initiatives entrepreneuriales en tant que président du Réseau 2i-Afrique -</w:t>
      </w:r>
      <w:r w:rsidR="0011136C" w:rsidRPr="00654100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C42081" w:rsidRPr="00654100">
          <w:rPr>
            <w:rStyle w:val="Lienhypertexte"/>
            <w:rFonts w:ascii="Arial" w:eastAsia="Times New Roman" w:hAnsi="Arial" w:cs="Arial"/>
            <w:color w:val="002060"/>
            <w:sz w:val="20"/>
            <w:szCs w:val="20"/>
            <w:lang w:eastAsia="fr-SN"/>
          </w:rPr>
          <w:t>https://reseau2iafrique.site</w:t>
        </w:r>
      </w:hyperlink>
      <w:r w:rsidR="00C42081" w:rsidRPr="00654100">
        <w:rPr>
          <w:rFonts w:ascii="Arial" w:eastAsia="Times New Roman" w:hAnsi="Arial" w:cs="Arial"/>
          <w:color w:val="404040"/>
          <w:sz w:val="20"/>
          <w:szCs w:val="20"/>
          <w:lang w:eastAsia="fr-SN"/>
        </w:rPr>
        <w:t xml:space="preserve"> )</w:t>
      </w:r>
    </w:p>
    <w:sectPr w:rsidR="00304877" w:rsidRPr="00654100" w:rsidSect="00665B90">
      <w:pgSz w:w="11906" w:h="16838" w:code="9"/>
      <w:pgMar w:top="567" w:right="567" w:bottom="567" w:left="567" w:header="142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C9A2" w14:textId="77777777" w:rsidR="00E736D5" w:rsidRDefault="00E736D5" w:rsidP="00B21D64">
      <w:pPr>
        <w:spacing w:after="0" w:line="240" w:lineRule="auto"/>
      </w:pPr>
      <w:r>
        <w:separator/>
      </w:r>
    </w:p>
  </w:endnote>
  <w:endnote w:type="continuationSeparator" w:id="0">
    <w:p w14:paraId="4D1A4486" w14:textId="77777777" w:rsidR="00E736D5" w:rsidRDefault="00E736D5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ED31" w14:textId="77777777" w:rsidR="00E736D5" w:rsidRDefault="00E736D5" w:rsidP="00B21D64">
      <w:pPr>
        <w:spacing w:after="0" w:line="240" w:lineRule="auto"/>
      </w:pPr>
      <w:r>
        <w:separator/>
      </w:r>
    </w:p>
  </w:footnote>
  <w:footnote w:type="continuationSeparator" w:id="0">
    <w:p w14:paraId="7745B61F" w14:textId="77777777" w:rsidR="00E736D5" w:rsidRDefault="00E736D5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6843"/>
    <w:multiLevelType w:val="multilevel"/>
    <w:tmpl w:val="2BE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B4F4B"/>
    <w:multiLevelType w:val="multilevel"/>
    <w:tmpl w:val="83E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04680"/>
    <w:multiLevelType w:val="multilevel"/>
    <w:tmpl w:val="C98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51D8A"/>
    <w:multiLevelType w:val="multilevel"/>
    <w:tmpl w:val="9D984FD2"/>
    <w:styleLink w:val="Listepuces1"/>
    <w:lvl w:ilvl="0">
      <w:start w:val="1"/>
      <w:numFmt w:val="bullet"/>
      <w:pStyle w:val="Listepuces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D5B"/>
    <w:multiLevelType w:val="multilevel"/>
    <w:tmpl w:val="114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D33C4"/>
    <w:multiLevelType w:val="multilevel"/>
    <w:tmpl w:val="2B2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Segoe UI" w:eastAsia="Times New Roman" w:hAnsi="Segoe UI" w:cs="Segoe U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11DF4"/>
    <w:multiLevelType w:val="hybridMultilevel"/>
    <w:tmpl w:val="C42EB12C"/>
    <w:lvl w:ilvl="0" w:tplc="2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A304E"/>
    <w:multiLevelType w:val="hybridMultilevel"/>
    <w:tmpl w:val="C08A1B70"/>
    <w:lvl w:ilvl="0" w:tplc="2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261B1"/>
    <w:multiLevelType w:val="multilevel"/>
    <w:tmpl w:val="3418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F2105"/>
    <w:multiLevelType w:val="multilevel"/>
    <w:tmpl w:val="9D984FD2"/>
    <w:numStyleLink w:val="Listepuces1"/>
  </w:abstractNum>
  <w:abstractNum w:abstractNumId="12" w15:restartNumberingAfterBreak="0">
    <w:nsid w:val="441B762C"/>
    <w:multiLevelType w:val="hybridMultilevel"/>
    <w:tmpl w:val="AA2A8A3C"/>
    <w:lvl w:ilvl="0" w:tplc="5CB4CD7C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3D0033"/>
    <w:multiLevelType w:val="multilevel"/>
    <w:tmpl w:val="B60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521F0A"/>
    <w:multiLevelType w:val="hybridMultilevel"/>
    <w:tmpl w:val="69127822"/>
    <w:lvl w:ilvl="0" w:tplc="8578F1B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2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237EBC"/>
    <w:multiLevelType w:val="hybridMultilevel"/>
    <w:tmpl w:val="9FC61034"/>
    <w:lvl w:ilvl="0" w:tplc="2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68981">
    <w:abstractNumId w:val="17"/>
  </w:num>
  <w:num w:numId="2" w16cid:durableId="220755697">
    <w:abstractNumId w:val="19"/>
  </w:num>
  <w:num w:numId="3" w16cid:durableId="836924663">
    <w:abstractNumId w:val="15"/>
  </w:num>
  <w:num w:numId="4" w16cid:durableId="1757633461">
    <w:abstractNumId w:val="10"/>
  </w:num>
  <w:num w:numId="5" w16cid:durableId="1429157170">
    <w:abstractNumId w:val="13"/>
  </w:num>
  <w:num w:numId="6" w16cid:durableId="649022963">
    <w:abstractNumId w:val="18"/>
  </w:num>
  <w:num w:numId="7" w16cid:durableId="161050992">
    <w:abstractNumId w:val="0"/>
  </w:num>
  <w:num w:numId="8" w16cid:durableId="1091899498">
    <w:abstractNumId w:val="4"/>
  </w:num>
  <w:num w:numId="9" w16cid:durableId="2003774511">
    <w:abstractNumId w:val="11"/>
  </w:num>
  <w:num w:numId="10" w16cid:durableId="753623920">
    <w:abstractNumId w:val="1"/>
  </w:num>
  <w:num w:numId="11" w16cid:durableId="1151171082">
    <w:abstractNumId w:val="7"/>
  </w:num>
  <w:num w:numId="12" w16cid:durableId="733158319">
    <w:abstractNumId w:val="6"/>
  </w:num>
  <w:num w:numId="13" w16cid:durableId="1164664565">
    <w:abstractNumId w:val="9"/>
  </w:num>
  <w:num w:numId="14" w16cid:durableId="678242466">
    <w:abstractNumId w:val="5"/>
  </w:num>
  <w:num w:numId="15" w16cid:durableId="155537721">
    <w:abstractNumId w:val="14"/>
  </w:num>
  <w:num w:numId="16" w16cid:durableId="868950542">
    <w:abstractNumId w:val="12"/>
  </w:num>
  <w:num w:numId="17" w16cid:durableId="993684230">
    <w:abstractNumId w:val="2"/>
  </w:num>
  <w:num w:numId="18" w16cid:durableId="1530483386">
    <w:abstractNumId w:val="3"/>
  </w:num>
  <w:num w:numId="19" w16cid:durableId="1935548398">
    <w:abstractNumId w:val="8"/>
  </w:num>
  <w:num w:numId="20" w16cid:durableId="1285966511">
    <w:abstractNumId w:val="16"/>
  </w:num>
  <w:num w:numId="21" w16cid:durableId="10139194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A2"/>
    <w:rsid w:val="00003604"/>
    <w:rsid w:val="000161E1"/>
    <w:rsid w:val="00021303"/>
    <w:rsid w:val="00080188"/>
    <w:rsid w:val="00080EB0"/>
    <w:rsid w:val="00087EAF"/>
    <w:rsid w:val="000947DB"/>
    <w:rsid w:val="000B462F"/>
    <w:rsid w:val="000C4740"/>
    <w:rsid w:val="00107E81"/>
    <w:rsid w:val="0011136C"/>
    <w:rsid w:val="00114258"/>
    <w:rsid w:val="00121C6D"/>
    <w:rsid w:val="00144072"/>
    <w:rsid w:val="00185EC6"/>
    <w:rsid w:val="0019572C"/>
    <w:rsid w:val="001C27B0"/>
    <w:rsid w:val="001F7259"/>
    <w:rsid w:val="0021475C"/>
    <w:rsid w:val="00220B07"/>
    <w:rsid w:val="002A411B"/>
    <w:rsid w:val="002B2EC4"/>
    <w:rsid w:val="002B36DE"/>
    <w:rsid w:val="002B4778"/>
    <w:rsid w:val="002B4C52"/>
    <w:rsid w:val="002E42AC"/>
    <w:rsid w:val="002F7670"/>
    <w:rsid w:val="003012B0"/>
    <w:rsid w:val="00304877"/>
    <w:rsid w:val="00311173"/>
    <w:rsid w:val="00326D93"/>
    <w:rsid w:val="00341D26"/>
    <w:rsid w:val="003831AD"/>
    <w:rsid w:val="003A5089"/>
    <w:rsid w:val="003C0BB5"/>
    <w:rsid w:val="00401F87"/>
    <w:rsid w:val="004067B9"/>
    <w:rsid w:val="004103C0"/>
    <w:rsid w:val="0042660B"/>
    <w:rsid w:val="00452292"/>
    <w:rsid w:val="00466949"/>
    <w:rsid w:val="004746DF"/>
    <w:rsid w:val="00476FCA"/>
    <w:rsid w:val="004865C2"/>
    <w:rsid w:val="00495223"/>
    <w:rsid w:val="004A595B"/>
    <w:rsid w:val="004A59F5"/>
    <w:rsid w:val="004B0EEF"/>
    <w:rsid w:val="004B4147"/>
    <w:rsid w:val="004E1E08"/>
    <w:rsid w:val="004F2F73"/>
    <w:rsid w:val="005225A2"/>
    <w:rsid w:val="00547B49"/>
    <w:rsid w:val="00552F9B"/>
    <w:rsid w:val="005636A7"/>
    <w:rsid w:val="005719F4"/>
    <w:rsid w:val="00583E4C"/>
    <w:rsid w:val="005A20B8"/>
    <w:rsid w:val="005B7DB3"/>
    <w:rsid w:val="005C53A9"/>
    <w:rsid w:val="0060763C"/>
    <w:rsid w:val="0061400D"/>
    <w:rsid w:val="00621B5C"/>
    <w:rsid w:val="00640D79"/>
    <w:rsid w:val="00654100"/>
    <w:rsid w:val="00665B90"/>
    <w:rsid w:val="006B7EB5"/>
    <w:rsid w:val="006C2DFF"/>
    <w:rsid w:val="006E39F0"/>
    <w:rsid w:val="006E4CF7"/>
    <w:rsid w:val="00717398"/>
    <w:rsid w:val="007571B5"/>
    <w:rsid w:val="007772B1"/>
    <w:rsid w:val="007B5C54"/>
    <w:rsid w:val="007D506B"/>
    <w:rsid w:val="007F6C6E"/>
    <w:rsid w:val="00816E81"/>
    <w:rsid w:val="008424CE"/>
    <w:rsid w:val="00864164"/>
    <w:rsid w:val="00881DB5"/>
    <w:rsid w:val="00890F1A"/>
    <w:rsid w:val="00895DA1"/>
    <w:rsid w:val="008B45FE"/>
    <w:rsid w:val="008E2197"/>
    <w:rsid w:val="00923181"/>
    <w:rsid w:val="00982B0D"/>
    <w:rsid w:val="00997E86"/>
    <w:rsid w:val="009B7D45"/>
    <w:rsid w:val="009C4648"/>
    <w:rsid w:val="009F7BA7"/>
    <w:rsid w:val="00A21AF8"/>
    <w:rsid w:val="00A6425D"/>
    <w:rsid w:val="00A91EB8"/>
    <w:rsid w:val="00A96376"/>
    <w:rsid w:val="00AA302A"/>
    <w:rsid w:val="00AD7477"/>
    <w:rsid w:val="00B03ED5"/>
    <w:rsid w:val="00B07771"/>
    <w:rsid w:val="00B21D64"/>
    <w:rsid w:val="00B257B3"/>
    <w:rsid w:val="00B3156F"/>
    <w:rsid w:val="00B46358"/>
    <w:rsid w:val="00B661FA"/>
    <w:rsid w:val="00B73E22"/>
    <w:rsid w:val="00BB7CE4"/>
    <w:rsid w:val="00BC33C3"/>
    <w:rsid w:val="00BF0DAF"/>
    <w:rsid w:val="00BF2D20"/>
    <w:rsid w:val="00C05345"/>
    <w:rsid w:val="00C338A2"/>
    <w:rsid w:val="00C344AA"/>
    <w:rsid w:val="00C37B1A"/>
    <w:rsid w:val="00C42081"/>
    <w:rsid w:val="00C5343D"/>
    <w:rsid w:val="00C655F5"/>
    <w:rsid w:val="00C777FF"/>
    <w:rsid w:val="00C86CA4"/>
    <w:rsid w:val="00C964E2"/>
    <w:rsid w:val="00CB2675"/>
    <w:rsid w:val="00CD2FD2"/>
    <w:rsid w:val="00CF7239"/>
    <w:rsid w:val="00D05E98"/>
    <w:rsid w:val="00D12DFD"/>
    <w:rsid w:val="00D328B4"/>
    <w:rsid w:val="00D61668"/>
    <w:rsid w:val="00D62B7E"/>
    <w:rsid w:val="00D843C0"/>
    <w:rsid w:val="00D91C55"/>
    <w:rsid w:val="00DF2294"/>
    <w:rsid w:val="00E23089"/>
    <w:rsid w:val="00E736D5"/>
    <w:rsid w:val="00EA5DBD"/>
    <w:rsid w:val="00EC4E93"/>
    <w:rsid w:val="00ED1C5E"/>
    <w:rsid w:val="00EE585F"/>
    <w:rsid w:val="00F154BF"/>
    <w:rsid w:val="00FA584E"/>
    <w:rsid w:val="00FC1EDA"/>
    <w:rsid w:val="00FC46DC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D7C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Titre1">
    <w:name w:val="heading 1"/>
    <w:basedOn w:val="Normal"/>
    <w:next w:val="Normal"/>
    <w:link w:val="Titre1Car"/>
    <w:uiPriority w:val="9"/>
    <w:qFormat/>
    <w:rsid w:val="00AA302A"/>
    <w:pPr>
      <w:keepNext/>
      <w:keepLines/>
      <w:spacing w:after="60" w:line="240" w:lineRule="auto"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1E1"/>
  </w:style>
  <w:style w:type="paragraph" w:styleId="Pieddepage">
    <w:name w:val="footer"/>
    <w:basedOn w:val="Normal"/>
    <w:link w:val="PieddepageCar"/>
    <w:uiPriority w:val="99"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1E1"/>
  </w:style>
  <w:style w:type="paragraph" w:styleId="Paragraphedeliste">
    <w:name w:val="List Paragraph"/>
    <w:basedOn w:val="Normal"/>
    <w:uiPriority w:val="34"/>
    <w:qFormat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CaractreLog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re">
    <w:name w:val="Title"/>
    <w:basedOn w:val="Normal"/>
    <w:next w:val="Normal"/>
    <w:link w:val="Titre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actreLogo">
    <w:name w:val="Caractère Logo"/>
    <w:basedOn w:val="Policepardfau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reCar">
    <w:name w:val="Titre Car"/>
    <w:basedOn w:val="Policepardfaut"/>
    <w:link w:val="Titr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Intitulduposte">
    <w:name w:val="Intitulé du poste"/>
    <w:basedOn w:val="Normal"/>
    <w:link w:val="CaractreIntitulduposte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Titre1Car">
    <w:name w:val="Titre 1 Car"/>
    <w:basedOn w:val="Policepardfaut"/>
    <w:link w:val="Titre1"/>
    <w:uiPriority w:val="9"/>
    <w:rsid w:val="00AA302A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actreIntitulduposte">
    <w:name w:val="Caractère Intitulé du poste"/>
    <w:basedOn w:val="Policepardfaut"/>
    <w:link w:val="Intituldupost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CaractreIntroductio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aractredecontact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CaractreIntroduction">
    <w:name w:val="Caractère Introduction"/>
    <w:basedOn w:val="Policepardfau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Comptence">
    <w:name w:val="Compétence"/>
    <w:basedOn w:val="Normal"/>
    <w:link w:val="CaractreComptence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actredecontact">
    <w:name w:val="Caractère de contact"/>
    <w:basedOn w:val="Policepardfau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coredecomptence">
    <w:name w:val="Score de compétence"/>
    <w:basedOn w:val="Normal"/>
    <w:link w:val="CaractreScoredecomptence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actreComptence">
    <w:name w:val="Caractère Compétence"/>
    <w:basedOn w:val="Policepardfaut"/>
    <w:link w:val="Comptence"/>
    <w:uiPriority w:val="17"/>
    <w:rsid w:val="000161E1"/>
    <w:rPr>
      <w:kern w:val="24"/>
    </w:rPr>
  </w:style>
  <w:style w:type="character" w:customStyle="1" w:styleId="Titre2Car">
    <w:name w:val="Titre 2 Car"/>
    <w:basedOn w:val="Policepardfaut"/>
    <w:link w:val="Titre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actreScoredecomptence">
    <w:name w:val="Caractère Score de compétence"/>
    <w:basedOn w:val="Policepardfaut"/>
    <w:link w:val="Scoredecomptenc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itre3Car">
    <w:name w:val="Titre 3 Car"/>
    <w:basedOn w:val="Policepardfaut"/>
    <w:link w:val="Titre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2F9B"/>
    <w:rPr>
      <w:rFonts w:eastAsiaTheme="majorEastAsi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epuces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epuces1">
    <w:name w:val="Liste à puces1"/>
    <w:uiPriority w:val="99"/>
    <w:rsid w:val="00A6425D"/>
    <w:pPr>
      <w:numPr>
        <w:numId w:val="8"/>
      </w:numPr>
    </w:pPr>
  </w:style>
  <w:style w:type="paragraph" w:customStyle="1" w:styleId="Descriptionduposte">
    <w:name w:val="Description du poste"/>
    <w:basedOn w:val="Normal"/>
    <w:link w:val="CaractreDescriptionduposte"/>
    <w:uiPriority w:val="18"/>
    <w:qFormat/>
    <w:rsid w:val="00A6425D"/>
    <w:pPr>
      <w:spacing w:after="0"/>
    </w:pPr>
  </w:style>
  <w:style w:type="character" w:customStyle="1" w:styleId="CaractreDescriptionduposte">
    <w:name w:val="Caractère Description du poste"/>
    <w:basedOn w:val="Policepardfaut"/>
    <w:link w:val="Descriptionduposte"/>
    <w:uiPriority w:val="18"/>
    <w:rsid w:val="000161E1"/>
  </w:style>
  <w:style w:type="character" w:styleId="lev">
    <w:name w:val="Strong"/>
    <w:basedOn w:val="Policepardfaut"/>
    <w:uiPriority w:val="22"/>
    <w:qFormat/>
    <w:rsid w:val="004746DF"/>
    <w:rPr>
      <w:b/>
      <w:bCs/>
    </w:rPr>
  </w:style>
  <w:style w:type="paragraph" w:customStyle="1" w:styleId="ds-markdown-paragraph">
    <w:name w:val="ds-markdown-paragraph"/>
    <w:basedOn w:val="Normal"/>
    <w:rsid w:val="0089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SN" w:eastAsia="fr-SN"/>
    </w:rPr>
  </w:style>
  <w:style w:type="character" w:styleId="Lienhypertexte">
    <w:name w:val="Hyperlink"/>
    <w:basedOn w:val="Policepardfaut"/>
    <w:uiPriority w:val="99"/>
    <w:unhideWhenUsed/>
    <w:rsid w:val="007B5C54"/>
    <w:rPr>
      <w:color w:val="FE006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5C54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087E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rtificationbale.net/fraudmanag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rtificationbale.net/certi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sper49@hot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seau2iafrique.si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0962\AppData\Roaming\Microsoft\Templates\CV%20moderne%20avec%20initiales.dotx" TargetMode="External"/></Relationship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avec initiales</Template>
  <TotalTime>0</TotalTime>
  <Pages>2</Pages>
  <Words>948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2025-05-20T17:21:00Z</dcterms:created>
  <dcterms:modified xsi:type="dcterms:W3CDTF">2025-05-21T17:58:00Z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